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赛道安排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一、高教主赛道</w:t>
      </w:r>
    </w:p>
    <w:p>
      <w:pPr>
        <w:shd w:val="clear" w:color="auto" w:fill="FFFFFF"/>
        <w:adjustRightInd w:val="0"/>
        <w:snapToGrid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（一）参赛项目主要包括以下类型：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1.新工科类项目：大数据、云计算、人工智能、区块链、虚拟现实、智能制造、网络空间安全、机器人工程、工业自动化、新材料等领域，符合新工科建设理念和要求的项目；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.新医科类项目：现代医疗技术、智能医疗设备、新药研发、健康康养、食药保健、智能医学、生物技术、生物材料等领域，符合新医科建设理念和要求的项目；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.新农科类项目：现代种业、智慧农业、智能农机装备、农业大数据、食品营养、休闲农业、森林康养、生态修复、农业碳汇等领域，符合新农科建设理念和要求的项目；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团队应认真了解和把握“四新”发展要求，结合以上分类及项目实际，合理选择参赛项目类别。参赛项目不只限于“互联网+”项目，鼓励各类创新创业项目参赛，根据“四新”建设内涵和产业发展方向选择相应类型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）参赛方式和要求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赛道以团队为单位报名参赛。允许跨校组建参赛团队，每个团队的成员不少于3人，不多于15人（含团队负责人），须为项目的实际核心成员。参赛团队所报参赛创业项目，须为本团队策划或经营的项目，不得借用他人项目参赛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所有参赛材料和现场答辩原则上使用中文或英文，如有其他语言需求，请联系大赛组委会。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参赛组别和对象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根据参赛申报人所处学习阶段，项目分为本科生组、研究生组。根据所处创业阶段，本科生组和研究生组均内设创意组、初创组、成长组，并按照新工科、新医科、新农科、新文科设置参赛项目类型。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具体参赛条件如下：</w:t>
      </w:r>
    </w:p>
    <w:p>
      <w:pPr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both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1.本科生组</w:t>
      </w:r>
    </w:p>
    <w:p>
      <w:pPr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创意组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参赛项目具有较好的创意和较为成型的产品原型或服务模式，</w:t>
      </w:r>
      <w:bookmarkStart w:id="0" w:name="_Hlk67037012"/>
      <w:r>
        <w:rPr>
          <w:rFonts w:hint="eastAsia" w:ascii="仿宋_GB2312" w:hAnsi="仿宋_GB2312" w:eastAsia="仿宋_GB2312" w:cs="仿宋_GB2312"/>
          <w:sz w:val="32"/>
          <w:szCs w:val="32"/>
        </w:rPr>
        <w:t>在大赛通知下发之日前尚未完成</w:t>
      </w:r>
      <w:bookmarkStart w:id="1" w:name="_Hlk67037394"/>
      <w:r>
        <w:rPr>
          <w:rFonts w:hint="eastAsia" w:ascii="仿宋_GB2312" w:hAnsi="仿宋_GB2312" w:eastAsia="仿宋_GB2312" w:cs="仿宋_GB2312"/>
          <w:sz w:val="32"/>
          <w:szCs w:val="32"/>
        </w:rPr>
        <w:t>工商等各类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登记注册，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并符合以下条件：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（1）参赛申报人须为团队负责人，团队负责人及成员须均为普通高等学校全日制在校本科生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专科生。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（2）学校科技成果转化项目不能参加本组比赛（科技成果的完成人、所有人中参赛申报人排名第一的除外）。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1.2本科生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初创组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（1）参赛项目工商等各类登记注册未满3年（2020年3月1日及以后注册）。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2）参赛申报人须为项目负责人且为参赛企业法定代表人，须为普通高等学校全日制在校本专科生（不含在职教育），或毕业5年以内的全日制本专科学生（即2018年之后的毕业生，不含在职教育）。企业法定代表人在大赛通知发布之日后进行变更的不予认可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（3）项目的股权结构中，企业法定代表人的股权不得少于1/3，参赛团队成员股权合计不得少于51%。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1.3本科生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成长组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参赛项目工商等各类登记注册3年以上（2020年3月1日前注册）。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申报人须为项目负责人且为参赛企业法定代表人，须为普通高等学校全日制在校本专科生（不含在职教育），或毕业5年以内的全日制本专科学生（即2018年之后的毕业生，不含在职教育）。企业法定代表人在大赛通知发布之日后进行变更的不予认可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项目的股权结构中，企业法定代表人的股权不得少于10%，参赛团队成员股权合计不得少于1/3。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2.研究生组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研究生创意组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参赛项目具有较好的创意和较为成型的产品原型或服务模式，在大赛通知下发之日前尚未完成工商等各类登记注册，并符合以下条件：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参赛申报人须为项目负责人，须为普通高等学校全日制在校研究生。项目成员须为普通高等学校全日制在校研究生或本专科生（不含在职教育）。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学校科技成果转化项目不能参加本组比赛（科技成果的完成人、所有人中参赛申报人排名第一的除外）。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2.2研究生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初创组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参赛项目工商等各类登记注册未满3年（2020年3月1日及以后注册）。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申报人须为项目负责人且为参赛企业法定代表人，须为普通高等学校全日制在校研究生，或毕业5年以内的全日制研究生学历学生（即2018年之后的研究生学历毕业生）。企业法定代表人在大赛通知发布之日后进行变更的不予认可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项目的股权结构中，企业法定代表人的股权不得少于1/3，参赛团队成员股权合计不得少于51%。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2.3研究生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成长组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参赛项目工商等各类登记注册3年以上（2020年3月1日前注册）。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申报人须为项目负责人且为参赛企业法定代表人，须为普通高等学校全日制在校研究生，或毕业5年以内的全日制研究生学历学生（即2018年之后的研究生学历毕业生）。企业法定代表人在大赛通知发布之日后进行变更的不予认可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项目的股权结构中，企业法定代表人的股权不得少于10%，参赛团队成员股权合计不得少于1/3。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二、“青年红色筑梦之旅”赛道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参加“青年红色筑梦之旅”赛道的项目，符合大赛参赛要求的，可自主选择参加“青年红色筑梦之旅”赛道。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（一）参赛项目要求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参加“青年红色筑梦之旅”赛道的项目应符合大赛参赛项目要求，同时在推进农业农村、城乡社区经济社会发展等方面有创新性、实效性和可持续性。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团队为单位报名参赛。允许跨校组建团队，每个团队的参赛成员不少于3人，不多于15人（含团队负责人），须为项目的实际核心成员。参赛团队所报参赛创业项目，须为本团队策划或经营的项目，不得借用他人项目参赛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申报人须为项目负责人，须为普通高等学校全日制在校生（包括本专科生、研究生，不含在职教育），或毕业5年以内的全日制学生（即2018年之后的毕业生，不含在职教育）；国家开放大学学生（仅限学历教育）。企业法定代表人在大赛通知发布之日后进行变更的不予认可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（二）参赛组别和对象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参加“青年红色筑梦之旅”赛道的项目，须为参加“青年红色筑梦之旅”活动的项目。否则一经发现，取消参赛资格。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根据项目性质和特点，分为公益组、创意组、创业组。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公益组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1）参赛项目不以营利为目标，积极弘扬公益精神，在公益服务领域具有较好的创意、产品或服务模式的创业计划和实践。参赛申报主体为独立的公益项目或社会组织，注册或未注册成立公益机构（或社会组织）的项目均可参赛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创意组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参赛项目基于专业和学科背景或相关资源，解决农业农村和城乡社区发展面临的主要问题，助力乡村振兴和社区治理，推动经济价值和社会价值的共同发展。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参赛项目在大赛通知下发之日前尚未完成工商等各类登记注册。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创业组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参赛项目以商业手段解决农业农村和城乡社区发展面临的主要问题、助力乡村振兴和社区治理，实现经济价值和社会价值的共同发展，推动共同富裕。</w:t>
      </w:r>
    </w:p>
    <w:p>
      <w:pPr>
        <w:shd w:val="clear" w:color="auto" w:fill="FFFFFF"/>
        <w:autoSpaceDE/>
        <w:autoSpaceDN/>
        <w:adjustRightInd w:val="0"/>
        <w:snapToGrid w:val="0"/>
        <w:spacing w:before="0" w:after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参赛项目在大赛通知下发之日前已完成工商等各类登记注册，学生须为法定代表人。项目的股权结构中，企业法定代表人的股权不得少于10%，参赛成员股权合计不得少于1/3。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、产业命题赛道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line="240" w:lineRule="auto"/>
        <w:ind w:left="0" w:right="277" w:firstLine="64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赛道方案及时间将根据教育部另行通知。</w:t>
      </w:r>
      <w:bookmarkStart w:id="2" w:name="_GoBack"/>
      <w:bookmarkEnd w:id="2"/>
    </w:p>
    <w:sectPr>
      <w:pgSz w:w="11910" w:h="16840"/>
      <w:pgMar w:top="1580" w:right="114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zkwNTM1YjY3MWMxZjE4NGY4OWM4NDlmMjY5ZjIwNGEifQ=="/>
  </w:docVars>
  <w:rsids>
    <w:rsidRoot w:val="00000000"/>
    <w:rsid w:val="313805DF"/>
    <w:rsid w:val="59F5221D"/>
    <w:rsid w:val="5BFB5725"/>
    <w:rsid w:val="609701D6"/>
    <w:rsid w:val="7D8C3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76"/>
      <w:outlineLvl w:val="1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90"/>
      <w:ind w:left="368" w:firstLine="640"/>
    </w:pPr>
    <w:rPr>
      <w:rFonts w:ascii="仿宋" w:hAnsi="仿宋" w:eastAsia="仿宋" w:cs="仿宋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2691</Words>
  <Characters>2766</Characters>
  <TotalTime>5</TotalTime>
  <ScaleCrop>false</ScaleCrop>
  <LinksUpToDate>false</LinksUpToDate>
  <CharactersWithSpaces>2766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2023-03-21T01:40:00Z</dcterms:created>
  <dc:creator>bling</dc:creator>
  <cp:lastModifiedBy> 莫晚</cp:lastModifiedBy>
  <dcterms:modified xsi:type="dcterms:W3CDTF">2023-03-21T02:38:19Z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2052-11.1.0.13703</vt:lpwstr>
  </property>
  <property fmtid="{D5CDD505-2E9C-101B-9397-08002B2CF9AE}" pid="4" name="ICV">
    <vt:lpwstr>E8CA26D8276E4EC3B02ED812EC7C1FAE</vt:lpwstr>
  </property>
</Properties>
</file>